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0" w:line="240" w:lineRule="auto"/>
        <w:jc w:val="center"/>
        <w:rPr>
          <w:rFonts w:hint="eastAsia" w:ascii="Times New Roman" w:hAnsi="Times New Roman" w:eastAsia="方正小标宋_GBK"/>
          <w:bCs/>
          <w:spacing w:val="-20"/>
          <w:sz w:val="44"/>
          <w:szCs w:val="44"/>
        </w:rPr>
      </w:pPr>
      <w:bookmarkStart w:id="0" w:name="_Toc323032605"/>
      <w:r>
        <w:rPr>
          <w:rFonts w:hint="eastAsia" w:ascii="Times New Roman" w:hAnsi="Times New Roman" w:eastAsia="方正小标宋_GBK"/>
          <w:spacing w:val="-20"/>
          <w:sz w:val="44"/>
          <w:szCs w:val="44"/>
        </w:rPr>
        <w:t>苏锡常</w:t>
      </w:r>
      <w:bookmarkEnd w:id="0"/>
      <w:r>
        <w:rPr>
          <w:rFonts w:hint="eastAsia" w:ascii="Times New Roman" w:hAnsi="Times New Roman" w:eastAsia="方正小标宋_GBK"/>
          <w:spacing w:val="-20"/>
          <w:sz w:val="44"/>
          <w:szCs w:val="44"/>
          <w:lang w:eastAsia="zh-CN"/>
        </w:rPr>
        <w:t>首台（套）重大装备</w:t>
      </w:r>
      <w:r>
        <w:rPr>
          <w:rFonts w:ascii="Times New Roman" w:hAnsi="Times New Roman" w:eastAsia="方正小标宋_GBK"/>
          <w:bCs/>
          <w:spacing w:val="-20"/>
          <w:sz w:val="44"/>
          <w:szCs w:val="44"/>
        </w:rPr>
        <w:t>认定管理</w:t>
      </w:r>
      <w:r>
        <w:rPr>
          <w:rFonts w:hint="eastAsia" w:ascii="Times New Roman" w:hAnsi="Times New Roman" w:eastAsia="方正小标宋_GBK"/>
          <w:bCs/>
          <w:spacing w:val="-20"/>
          <w:sz w:val="44"/>
          <w:szCs w:val="44"/>
        </w:rPr>
        <w:t>办法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/>
        <w:jc w:val="center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 w:bidi="ar-SA"/>
        </w:rPr>
        <w:t>（征求意见稿）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第一章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总则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after="0" w:line="620" w:lineRule="exact"/>
        <w:ind w:firstLine="643" w:firstLineChars="200"/>
        <w:jc w:val="both"/>
        <w:textAlignment w:val="auto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第一条</w:t>
      </w: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为加快建设自主可控的先进制造业体系，推动制造业高质量发展，鼓励和引导装备企业开展技术创新，</w:t>
      </w:r>
      <w:bookmarkStart w:id="1" w:name="_GoBack"/>
      <w:bookmarkEnd w:id="1"/>
      <w:r>
        <w:rPr>
          <w:rFonts w:hint="eastAsia" w:ascii="仿宋_GB2312" w:hAnsi="Times New Roman" w:eastAsia="仿宋_GB2312"/>
          <w:color w:val="000000"/>
          <w:sz w:val="32"/>
          <w:szCs w:val="32"/>
        </w:rPr>
        <w:t>积极研制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首台（套）重大装备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，制定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本办法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after="0" w:line="620" w:lineRule="exact"/>
        <w:ind w:firstLine="643" w:firstLineChars="200"/>
        <w:jc w:val="both"/>
        <w:textAlignment w:val="auto"/>
        <w:rPr>
          <w:rFonts w:ascii="方正楷体_GBK" w:hAnsi="Times New Roman" w:eastAsia="方正楷体_GBK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第二条</w:t>
      </w: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本办法所称的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首台（套）重大装备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（以下简称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“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首台套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”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）是指苏州、无锡、常州三市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企业通过研发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创新，其品种、规格或技术参数等有重大突破，具有自主知识产权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的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国际或国内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首台（套）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高端装备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和关键部件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，整机性能或核心技术指标达到国内领先或国际同类装备先进水平。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after="0" w:line="620" w:lineRule="exact"/>
        <w:ind w:firstLine="643" w:firstLineChars="200"/>
        <w:jc w:val="both"/>
        <w:textAlignment w:val="auto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第三条</w:t>
      </w: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苏州市工业和信息化局、无锡市工业和信息化局、常州市工业和信息化局按年度联合组织认定苏锡常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首台套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。申请单位根据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本办法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自愿申报。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第二章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认定条件</w:t>
      </w: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after="0" w:line="620" w:lineRule="exact"/>
        <w:ind w:firstLine="643" w:firstLineChars="200"/>
        <w:jc w:val="both"/>
        <w:textAlignment w:val="auto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第四条</w:t>
      </w: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申请单位应符合以下基本条件：</w:t>
      </w: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after="0" w:line="620" w:lineRule="exact"/>
        <w:ind w:firstLine="640"/>
        <w:jc w:val="both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（一）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在苏州市、无锡市、常州市三市行政区域内依法注册一年以上，具有独立法人资格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after="0" w:line="620" w:lineRule="exact"/>
        <w:ind w:firstLine="640"/>
        <w:jc w:val="both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（二）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生产经营正常、管理规范，申报时无严重失信记录，近三年内未发生重大安全生产或环保等事故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after="0" w:line="620" w:lineRule="exact"/>
        <w:ind w:firstLine="640"/>
        <w:jc w:val="both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（三）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具有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装备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设计制造能力，研发试验基础条件良好，具有专业且稳定的技术人才队伍。</w:t>
      </w:r>
    </w:p>
    <w:p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adjustRightInd w:val="0"/>
        <w:snapToGrid w:val="0"/>
        <w:spacing w:after="0" w:line="62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第五条</w:t>
      </w: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申请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装备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应符合以下基本条件：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after="0" w:line="62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 w:bidi="ar-SA"/>
        </w:rPr>
        <w:t>（一）符合国家、省和市工业转型升级要求，能够实现量产和销售，满足售后服务需要；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after="0" w:line="620" w:lineRule="exact"/>
        <w:ind w:firstLine="640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 w:bidi="ar-SA"/>
        </w:rPr>
        <w:t>（二）产品自主可控程度高，掌握装备生产的核心技术和关键工艺，在设计与制造技术等方面具有标志性突破或根本性改进，核心技术及关键部件安全可控；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 w:bidi="ar-SA"/>
        </w:rPr>
        <w:t>（三）依法拥有与申报装备直接相关的发明专利等自主知识产权，无知识产权纠纷；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 w:bidi="ar-SA"/>
        </w:rPr>
        <w:t>（四）经法定专业检验检测机构针对装备性能指标检验检测，报告结论能够给予支持；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 w:bidi="ar-SA"/>
        </w:rPr>
        <w:t>（五）经专业查新机构针对性能突破等进行查新，查新结论能够给予支持；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 w:bidi="ar-SA"/>
        </w:rPr>
        <w:t>（六）按照相关标准进行研制生产，其中企业标准应按要求备案；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 w:bidi="ar-SA"/>
        </w:rPr>
        <w:t>（七）经用户单位验证，并出具使用报告，报告结论能够给予支持；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 w:bidi="ar-SA"/>
        </w:rPr>
        <w:t>（八）属于国家特殊行业管理要求的装备，必须具有相关主管部门批准颁发的产品生产许可证；属于国家实施强制性产品认证的装备，必须通过强制性产品认证；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val="en-US" w:eastAsia="zh-CN" w:bidi="ar-SA"/>
        </w:rPr>
        <w:t>（九）国家和省产业链协同创新、关键核心技术（装备）攻关等项目的研发成果可优先予以认定；已有同系列型号产品通过认定的，原则上不再予以认定。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第三章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认定程序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after="0" w:line="620" w:lineRule="exact"/>
        <w:ind w:firstLine="601" w:firstLineChars="187"/>
        <w:jc w:val="both"/>
        <w:textAlignment w:val="auto"/>
        <w:rPr>
          <w:rFonts w:ascii="仿宋_GB2312" w:hAnsi="Times New Roman" w:eastAsia="仿宋_GB2312"/>
          <w:b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第六条</w:t>
      </w: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苏州市工业和信息化局、无锡市工业和信息化局、常州市工业和信息化局按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本办法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发布申报通知。申请单位根据属地管理原则向所在县（市、区）工业和信息化主管部门提出申请，按要求提供申报材料，并对材料的真实性负责。所在县（市、区）工业和信息化主管部门按要求进行初审，同意后行文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报送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至所在市工业和信息化局。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after="0" w:line="62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第七条</w:t>
      </w: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苏州市工业和信息化局、无锡市工业和信息化局、常州市工业和信息化局</w:t>
      </w:r>
      <w:r>
        <w:rPr>
          <w:rFonts w:hint="eastAsia" w:ascii="仿宋_GB2312" w:hAnsi="Times New Roman" w:eastAsia="仿宋_GB2312"/>
          <w:color w:val="000000" w:themeColor="text1"/>
          <w:sz w:val="32"/>
          <w:szCs w:val="32"/>
        </w:rPr>
        <w:t>分别对本市申报材料开展形式审查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，对通过形式审查的装备组织专家进行材料评审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，通过材料评审的逐项组织专家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现场核查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after="0" w:line="620" w:lineRule="exact"/>
        <w:ind w:firstLine="643" w:firstLineChars="200"/>
        <w:jc w:val="both"/>
        <w:textAlignment w:val="auto"/>
        <w:rPr>
          <w:rFonts w:ascii="仿宋_GB2312" w:eastAsia="仿宋_GB2312"/>
        </w:rPr>
      </w:pPr>
      <w:r>
        <w:rPr>
          <w:rFonts w:hint="eastAsia" w:ascii="仿宋_GB2312" w:hAnsi="Times New Roman" w:eastAsia="仿宋_GB2312" w:cs="Times New Roman"/>
          <w:b/>
          <w:bCs/>
          <w:color w:val="auto"/>
          <w:sz w:val="32"/>
          <w:szCs w:val="32"/>
          <w:lang w:val="en-US" w:eastAsia="zh-CN" w:bidi="ar-SA"/>
        </w:rPr>
        <w:t xml:space="preserve">第八条 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 w:bidi="ar-SA"/>
        </w:rPr>
        <w:t>根据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现场核查结果，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苏州市工业和信息化局、无锡市工业和信息化局、常州市工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业和信息化局分别研究确定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本地区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当年度苏锡常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首台套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认定名单，并联合进行网上公示，公示期为5个工作日。公示期满无异议的，苏州市工业和信息化局、无锡市工业和信息化局、常州市工业和信息化局联合予以公告。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首台套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自认定文件发布之日起</w:t>
      </w:r>
      <w:r>
        <w:rPr>
          <w:rFonts w:hint="eastAsia" w:ascii="仿宋_GB2312" w:hAnsi="Times New Roman" w:eastAsia="仿宋_GB2312"/>
          <w:color w:val="000000"/>
          <w:sz w:val="32"/>
          <w:szCs w:val="32"/>
          <w:highlight w:val="none"/>
        </w:rPr>
        <w:t>三年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内有效。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第四章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监督管理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after="0" w:line="620" w:lineRule="exact"/>
        <w:ind w:firstLine="643" w:firstLineChars="200"/>
        <w:jc w:val="both"/>
        <w:textAlignment w:val="auto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第</w:t>
      </w: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  <w:lang w:eastAsia="zh-CN"/>
        </w:rPr>
        <w:t>九</w:t>
      </w: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条</w:t>
      </w: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申请单位应严格按照首台套认定的相关条件和要求，对申请材料的真实性负责，不得弄虚作假。对申请单位不符合首台套申报条件和要求、通过非正当手段骗取认定的，一经查实将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按国家有关规定列入失信记录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after="0" w:line="62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第十条</w:t>
      </w: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各级工业和信息化主管部门应加强对首台套认定申请、审核的组织管理工作，配合做好本地区首台套跟踪服务工作。对审核把关不严，造成骗取认定或其它重大损失的，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所在市工业和信息化主管部门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将对相关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地方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部门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进行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通报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并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督促整改。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after="0" w:line="62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第十</w:t>
      </w: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  <w:lang w:eastAsia="zh-CN"/>
        </w:rPr>
        <w:t>一</w:t>
      </w: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条</w:t>
      </w: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参与首台套认定工作的评审专家应严格遵守工作纪律和保密要求，主动接受各级工业和信息化主管部门和申请单位的监督。违反国家法律法规的，提请相关部门依法追究其法律责任。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jc w:val="center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第五章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附则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after="0" w:line="62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第十</w:t>
      </w: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  <w:lang w:eastAsia="zh-CN"/>
        </w:rPr>
        <w:t>二</w:t>
      </w: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条</w:t>
      </w: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苏州、无锡、常州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三市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联合开展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首台套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认定工作，认定范围、标准和程序一致，结果互认。经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联合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认定的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首台套同等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享受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各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市首台套推广应用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政策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after="0" w:line="620" w:lineRule="exact"/>
        <w:ind w:firstLine="643" w:firstLineChars="200"/>
        <w:jc w:val="both"/>
        <w:textAlignment w:val="auto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第十</w:t>
      </w: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  <w:lang w:eastAsia="zh-CN"/>
        </w:rPr>
        <w:t>三</w:t>
      </w: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条</w:t>
      </w: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各级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工业和信息化主管部门应积极支持首台套研发和推广应用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，鼓励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产品研制单位主动购买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首台套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保险，提高用户单位应用积极性。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adjustRightInd w:val="0"/>
        <w:snapToGrid w:val="0"/>
        <w:spacing w:after="0" w:line="620" w:lineRule="exact"/>
        <w:ind w:firstLine="643" w:firstLineChars="200"/>
        <w:jc w:val="both"/>
        <w:textAlignment w:val="auto"/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第十</w:t>
      </w: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  <w:lang w:eastAsia="zh-CN"/>
        </w:rPr>
        <w:t>四</w:t>
      </w: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条</w:t>
      </w: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本办法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自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2021年  月  日起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施行。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C61A2"/>
    <w:rsid w:val="00000193"/>
    <w:rsid w:val="0000234F"/>
    <w:rsid w:val="00002455"/>
    <w:rsid w:val="000148A9"/>
    <w:rsid w:val="00030030"/>
    <w:rsid w:val="00034614"/>
    <w:rsid w:val="00044AC0"/>
    <w:rsid w:val="00050377"/>
    <w:rsid w:val="00053690"/>
    <w:rsid w:val="000549A9"/>
    <w:rsid w:val="00064A6F"/>
    <w:rsid w:val="00073BD8"/>
    <w:rsid w:val="000919F5"/>
    <w:rsid w:val="00092305"/>
    <w:rsid w:val="0009429A"/>
    <w:rsid w:val="000A64F0"/>
    <w:rsid w:val="000B1FC2"/>
    <w:rsid w:val="000E519B"/>
    <w:rsid w:val="000F1F3E"/>
    <w:rsid w:val="00126B2A"/>
    <w:rsid w:val="001319EA"/>
    <w:rsid w:val="0013780C"/>
    <w:rsid w:val="001415D8"/>
    <w:rsid w:val="001522C3"/>
    <w:rsid w:val="00164DA5"/>
    <w:rsid w:val="00175874"/>
    <w:rsid w:val="00180547"/>
    <w:rsid w:val="001B6E67"/>
    <w:rsid w:val="001D2EE7"/>
    <w:rsid w:val="001D35A6"/>
    <w:rsid w:val="001F0A9D"/>
    <w:rsid w:val="00220665"/>
    <w:rsid w:val="00250507"/>
    <w:rsid w:val="00270AA9"/>
    <w:rsid w:val="00271E98"/>
    <w:rsid w:val="00282CFF"/>
    <w:rsid w:val="002A4FB9"/>
    <w:rsid w:val="002C0CEB"/>
    <w:rsid w:val="002C5FC5"/>
    <w:rsid w:val="002D10F8"/>
    <w:rsid w:val="002D16B9"/>
    <w:rsid w:val="002E36F8"/>
    <w:rsid w:val="002E7A09"/>
    <w:rsid w:val="0031223E"/>
    <w:rsid w:val="003201E5"/>
    <w:rsid w:val="00325330"/>
    <w:rsid w:val="003307BC"/>
    <w:rsid w:val="00331D27"/>
    <w:rsid w:val="003626D8"/>
    <w:rsid w:val="00365984"/>
    <w:rsid w:val="00383EEB"/>
    <w:rsid w:val="003A2351"/>
    <w:rsid w:val="003C2948"/>
    <w:rsid w:val="003C5FC4"/>
    <w:rsid w:val="003E52EE"/>
    <w:rsid w:val="00401F23"/>
    <w:rsid w:val="00405410"/>
    <w:rsid w:val="004075B6"/>
    <w:rsid w:val="0042356E"/>
    <w:rsid w:val="00432F5A"/>
    <w:rsid w:val="004378AE"/>
    <w:rsid w:val="004814D2"/>
    <w:rsid w:val="0049576A"/>
    <w:rsid w:val="004A0CC6"/>
    <w:rsid w:val="004A1AB0"/>
    <w:rsid w:val="004A5380"/>
    <w:rsid w:val="004A5483"/>
    <w:rsid w:val="004B08A5"/>
    <w:rsid w:val="004B42CF"/>
    <w:rsid w:val="004B7006"/>
    <w:rsid w:val="004C5121"/>
    <w:rsid w:val="004C51CC"/>
    <w:rsid w:val="004F274D"/>
    <w:rsid w:val="004F6614"/>
    <w:rsid w:val="00500606"/>
    <w:rsid w:val="00503DF8"/>
    <w:rsid w:val="005047C0"/>
    <w:rsid w:val="00512418"/>
    <w:rsid w:val="00520E12"/>
    <w:rsid w:val="00534F78"/>
    <w:rsid w:val="00545ED1"/>
    <w:rsid w:val="0055455F"/>
    <w:rsid w:val="005744AF"/>
    <w:rsid w:val="00581794"/>
    <w:rsid w:val="00585C75"/>
    <w:rsid w:val="005A328E"/>
    <w:rsid w:val="005B4DBC"/>
    <w:rsid w:val="005C61A2"/>
    <w:rsid w:val="00600AE4"/>
    <w:rsid w:val="0060248B"/>
    <w:rsid w:val="00602889"/>
    <w:rsid w:val="00605C70"/>
    <w:rsid w:val="0061444A"/>
    <w:rsid w:val="006159A7"/>
    <w:rsid w:val="006259A9"/>
    <w:rsid w:val="006373BA"/>
    <w:rsid w:val="0064460E"/>
    <w:rsid w:val="0065118B"/>
    <w:rsid w:val="00651A5D"/>
    <w:rsid w:val="00671C24"/>
    <w:rsid w:val="00687EB5"/>
    <w:rsid w:val="006918E0"/>
    <w:rsid w:val="00692BB5"/>
    <w:rsid w:val="006B50EF"/>
    <w:rsid w:val="006D1611"/>
    <w:rsid w:val="006D60AE"/>
    <w:rsid w:val="006D6107"/>
    <w:rsid w:val="006E3930"/>
    <w:rsid w:val="006F6679"/>
    <w:rsid w:val="00704BA2"/>
    <w:rsid w:val="00734289"/>
    <w:rsid w:val="00741668"/>
    <w:rsid w:val="00745322"/>
    <w:rsid w:val="007801DA"/>
    <w:rsid w:val="00787115"/>
    <w:rsid w:val="00791E92"/>
    <w:rsid w:val="007A7B7F"/>
    <w:rsid w:val="007B7FE8"/>
    <w:rsid w:val="007E2ED9"/>
    <w:rsid w:val="007F12F8"/>
    <w:rsid w:val="008036EC"/>
    <w:rsid w:val="00803A3E"/>
    <w:rsid w:val="00805830"/>
    <w:rsid w:val="00842B58"/>
    <w:rsid w:val="00864506"/>
    <w:rsid w:val="008656E8"/>
    <w:rsid w:val="008852A5"/>
    <w:rsid w:val="008A45E8"/>
    <w:rsid w:val="008B3799"/>
    <w:rsid w:val="008B6BB5"/>
    <w:rsid w:val="008B73CB"/>
    <w:rsid w:val="008C4934"/>
    <w:rsid w:val="008C56A6"/>
    <w:rsid w:val="008D1E98"/>
    <w:rsid w:val="008D65D8"/>
    <w:rsid w:val="008E16BF"/>
    <w:rsid w:val="008E379C"/>
    <w:rsid w:val="008E57D8"/>
    <w:rsid w:val="00900A30"/>
    <w:rsid w:val="00900F5D"/>
    <w:rsid w:val="00934997"/>
    <w:rsid w:val="00951ABF"/>
    <w:rsid w:val="0098181D"/>
    <w:rsid w:val="0098671B"/>
    <w:rsid w:val="00995018"/>
    <w:rsid w:val="009A459F"/>
    <w:rsid w:val="009A5143"/>
    <w:rsid w:val="009B0B4C"/>
    <w:rsid w:val="009C141E"/>
    <w:rsid w:val="009C3395"/>
    <w:rsid w:val="009D48AE"/>
    <w:rsid w:val="009D6454"/>
    <w:rsid w:val="00A05C5D"/>
    <w:rsid w:val="00A24656"/>
    <w:rsid w:val="00A263DD"/>
    <w:rsid w:val="00A26EB0"/>
    <w:rsid w:val="00A33E31"/>
    <w:rsid w:val="00A4541E"/>
    <w:rsid w:val="00A54DB1"/>
    <w:rsid w:val="00A81E5E"/>
    <w:rsid w:val="00A975BD"/>
    <w:rsid w:val="00AA63D7"/>
    <w:rsid w:val="00AB5F52"/>
    <w:rsid w:val="00AC11EC"/>
    <w:rsid w:val="00AC4FEA"/>
    <w:rsid w:val="00AD1EAA"/>
    <w:rsid w:val="00AE14F9"/>
    <w:rsid w:val="00AE7CF5"/>
    <w:rsid w:val="00AF31BE"/>
    <w:rsid w:val="00B0000E"/>
    <w:rsid w:val="00B00E10"/>
    <w:rsid w:val="00B03ADC"/>
    <w:rsid w:val="00B04902"/>
    <w:rsid w:val="00B47A3E"/>
    <w:rsid w:val="00B5557B"/>
    <w:rsid w:val="00B744EA"/>
    <w:rsid w:val="00B810FD"/>
    <w:rsid w:val="00B8224A"/>
    <w:rsid w:val="00B95206"/>
    <w:rsid w:val="00BB4617"/>
    <w:rsid w:val="00BD25ED"/>
    <w:rsid w:val="00BE4DEB"/>
    <w:rsid w:val="00BF3071"/>
    <w:rsid w:val="00C0110E"/>
    <w:rsid w:val="00C17E17"/>
    <w:rsid w:val="00C32868"/>
    <w:rsid w:val="00C37351"/>
    <w:rsid w:val="00C43801"/>
    <w:rsid w:val="00CA5765"/>
    <w:rsid w:val="00CB5C59"/>
    <w:rsid w:val="00CD2006"/>
    <w:rsid w:val="00CD4E10"/>
    <w:rsid w:val="00CD6052"/>
    <w:rsid w:val="00CD7B33"/>
    <w:rsid w:val="00CF4A85"/>
    <w:rsid w:val="00CF4C2A"/>
    <w:rsid w:val="00CF6F63"/>
    <w:rsid w:val="00D06E8A"/>
    <w:rsid w:val="00D12929"/>
    <w:rsid w:val="00D14A78"/>
    <w:rsid w:val="00D25EA5"/>
    <w:rsid w:val="00D3775C"/>
    <w:rsid w:val="00D40D2C"/>
    <w:rsid w:val="00D514FD"/>
    <w:rsid w:val="00D60598"/>
    <w:rsid w:val="00D62285"/>
    <w:rsid w:val="00D6711F"/>
    <w:rsid w:val="00D919DC"/>
    <w:rsid w:val="00DA1343"/>
    <w:rsid w:val="00DD54E7"/>
    <w:rsid w:val="00DE2398"/>
    <w:rsid w:val="00DF0EAC"/>
    <w:rsid w:val="00E02D0D"/>
    <w:rsid w:val="00E11785"/>
    <w:rsid w:val="00E176FF"/>
    <w:rsid w:val="00E3432D"/>
    <w:rsid w:val="00E43D58"/>
    <w:rsid w:val="00E53681"/>
    <w:rsid w:val="00E7360D"/>
    <w:rsid w:val="00E74517"/>
    <w:rsid w:val="00E77450"/>
    <w:rsid w:val="00E81D02"/>
    <w:rsid w:val="00E84ABE"/>
    <w:rsid w:val="00E9383F"/>
    <w:rsid w:val="00E9636D"/>
    <w:rsid w:val="00EA3CE1"/>
    <w:rsid w:val="00EA5F5B"/>
    <w:rsid w:val="00ED72B0"/>
    <w:rsid w:val="00EE1B08"/>
    <w:rsid w:val="00EF3024"/>
    <w:rsid w:val="00F16A1F"/>
    <w:rsid w:val="00F17859"/>
    <w:rsid w:val="00F3552E"/>
    <w:rsid w:val="00F5062A"/>
    <w:rsid w:val="00F577DC"/>
    <w:rsid w:val="00F61A6E"/>
    <w:rsid w:val="00F64705"/>
    <w:rsid w:val="00FB4859"/>
    <w:rsid w:val="00FC7C75"/>
    <w:rsid w:val="00FD3261"/>
    <w:rsid w:val="00FE3947"/>
    <w:rsid w:val="00FF20DC"/>
    <w:rsid w:val="00FF4110"/>
    <w:rsid w:val="00FF5588"/>
    <w:rsid w:val="03377526"/>
    <w:rsid w:val="05D8519F"/>
    <w:rsid w:val="090C3225"/>
    <w:rsid w:val="0A4145D4"/>
    <w:rsid w:val="0C273589"/>
    <w:rsid w:val="0D5168B0"/>
    <w:rsid w:val="0D696289"/>
    <w:rsid w:val="0FBF63C4"/>
    <w:rsid w:val="106F7189"/>
    <w:rsid w:val="150E4A72"/>
    <w:rsid w:val="151A6EC2"/>
    <w:rsid w:val="151F613D"/>
    <w:rsid w:val="15883CC6"/>
    <w:rsid w:val="16B10115"/>
    <w:rsid w:val="173D5773"/>
    <w:rsid w:val="17C73799"/>
    <w:rsid w:val="22AB3E0F"/>
    <w:rsid w:val="2FED7354"/>
    <w:rsid w:val="3014653A"/>
    <w:rsid w:val="312B28F5"/>
    <w:rsid w:val="32B0111C"/>
    <w:rsid w:val="34262F10"/>
    <w:rsid w:val="346E29FF"/>
    <w:rsid w:val="348B39D1"/>
    <w:rsid w:val="352631A3"/>
    <w:rsid w:val="37AA4D4B"/>
    <w:rsid w:val="3839061C"/>
    <w:rsid w:val="3AE57CD1"/>
    <w:rsid w:val="3C267623"/>
    <w:rsid w:val="3F474168"/>
    <w:rsid w:val="40265764"/>
    <w:rsid w:val="438A4AA6"/>
    <w:rsid w:val="47414D46"/>
    <w:rsid w:val="4B5F2EAE"/>
    <w:rsid w:val="4EE06807"/>
    <w:rsid w:val="50D314D7"/>
    <w:rsid w:val="515E4A35"/>
    <w:rsid w:val="584725CC"/>
    <w:rsid w:val="58C34CAC"/>
    <w:rsid w:val="5BC22EA8"/>
    <w:rsid w:val="5C092095"/>
    <w:rsid w:val="6195354C"/>
    <w:rsid w:val="656873E8"/>
    <w:rsid w:val="66EC6F8E"/>
    <w:rsid w:val="68936110"/>
    <w:rsid w:val="68E44BDE"/>
    <w:rsid w:val="6962324D"/>
    <w:rsid w:val="6ABD6755"/>
    <w:rsid w:val="6AC113E8"/>
    <w:rsid w:val="6FF16450"/>
    <w:rsid w:val="70CD4418"/>
    <w:rsid w:val="71AC6E3B"/>
    <w:rsid w:val="72C10767"/>
    <w:rsid w:val="775F503D"/>
    <w:rsid w:val="781B3322"/>
    <w:rsid w:val="78BF58AB"/>
    <w:rsid w:val="7A5C3339"/>
    <w:rsid w:val="7E391755"/>
    <w:rsid w:val="7E414821"/>
    <w:rsid w:val="7F4617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</w:style>
  <w:style w:type="paragraph" w:styleId="3">
    <w:name w:val="annotation text"/>
    <w:basedOn w:val="1"/>
    <w:link w:val="16"/>
    <w:semiHidden/>
    <w:unhideWhenUsed/>
    <w:qFormat/>
    <w:uiPriority w:val="99"/>
  </w:style>
  <w:style w:type="paragraph" w:styleId="4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cstheme="minorBidi"/>
      <w:kern w:val="2"/>
      <w:sz w:val="18"/>
      <w:szCs w:val="18"/>
    </w:rPr>
  </w:style>
  <w:style w:type="paragraph" w:styleId="7">
    <w:name w:val="annotation subject"/>
    <w:basedOn w:val="3"/>
    <w:next w:val="3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link w:val="6"/>
    <w:qFormat/>
    <w:locked/>
    <w:uiPriority w:val="0"/>
    <w:rPr>
      <w:rFonts w:ascii="Calibri" w:hAnsi="Calibri" w:eastAsia="宋体"/>
      <w:sz w:val="18"/>
      <w:szCs w:val="18"/>
    </w:rPr>
  </w:style>
  <w:style w:type="character" w:customStyle="1" w:styleId="13">
    <w:name w:val="页眉 Char1"/>
    <w:basedOn w:val="10"/>
    <w:semiHidden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5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6">
    <w:name w:val="批注文字 Char"/>
    <w:basedOn w:val="10"/>
    <w:link w:val="3"/>
    <w:semiHidden/>
    <w:qFormat/>
    <w:uiPriority w:val="99"/>
    <w:rPr>
      <w:rFonts w:ascii="Calibri" w:hAnsi="Calibri"/>
      <w:sz w:val="22"/>
      <w:szCs w:val="22"/>
    </w:rPr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899F16-0B31-43C9-A236-5F9382BE8C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296</Words>
  <Characters>1692</Characters>
  <Lines>14</Lines>
  <Paragraphs>3</Paragraphs>
  <TotalTime>333</TotalTime>
  <ScaleCrop>false</ScaleCrop>
  <LinksUpToDate>false</LinksUpToDate>
  <CharactersWithSpaces>1985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2018-05-18T00:24:00Z</dcterms:created>
  <dc:creator>PC</dc:creator>
  <cp:lastModifiedBy>hmeast</cp:lastModifiedBy>
  <cp:lastPrinted>2021-03-11T09:24:00Z</cp:lastPrinted>
  <dcterms:modified xsi:type="dcterms:W3CDTF">2021-04-06T01:28:18Z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514868945_btnclosed</vt:lpwstr>
  </property>
</Properties>
</file>