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附件十五：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关于组织开展2021年高新技术企业培育企业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认定高企奖补工作的通知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</w:p>
    <w:p>
      <w:pPr>
        <w:pStyle w:val="3"/>
        <w:widowControl w:val="0"/>
        <w:adjustRightInd w:val="0"/>
        <w:snapToGrid w:val="0"/>
        <w:spacing w:before="0" w:beforeAutospacing="0" w:after="0" w:afterAutospacing="0" w:line="600" w:lineRule="atLeast"/>
        <w:jc w:val="both"/>
        <w:rPr>
          <w:rFonts w:hint="eastAsia"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各市、区科技局，各有关单位：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仿宋_GB2312" w:eastAsia="仿宋_GB2312"/>
          <w:b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为贯彻落实苏州市委十二届十一次全会精神，奋力肩负起“争当表率、争做示范、走在前列”的新使命，深入实施创新驱动发展战略，着力打造科技强市和建设“创业者乐园，创新者天堂”，</w:t>
      </w:r>
      <w:r>
        <w:rPr>
          <w:rFonts w:hint="eastAsia" w:ascii="仿宋_GB2312" w:eastAsia="仿宋_GB2312"/>
          <w:snapToGrid w:val="0"/>
          <w:sz w:val="32"/>
          <w:szCs w:val="32"/>
        </w:rPr>
        <w:t>进一步加快高新技术企业培育工作，充分发挥高新技术企业的示范引领作用，根据《苏州市高新技术企业培育实施细则（试行）》（苏科规〔2019〕5号）的有关规定，现将2021年高新技术企业培育企业认定高企奖补工作通知如下：</w:t>
      </w:r>
    </w:p>
    <w:p>
      <w:pPr>
        <w:pStyle w:val="7"/>
        <w:adjustRightInd w:val="0"/>
        <w:spacing w:line="600" w:lineRule="atLeast"/>
        <w:ind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一、奖补企业条件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奖补企业需同时满足以下条件：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（1）吴江区、吴中区、相城区、姑苏区、工业园区和高新区的苏州市高新技术企业培育库在库企业，并在2020年度通过高新技术企业认定；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（2）不存在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《苏州市高新技术企业培育实施细则（试行）》（苏科规〔2019〕5号）第十五条规定的情况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。</w:t>
      </w:r>
    </w:p>
    <w:p>
      <w:pPr>
        <w:pStyle w:val="7"/>
        <w:adjustRightInd w:val="0"/>
        <w:spacing w:line="600" w:lineRule="atLeast"/>
        <w:ind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二、奖补支持力度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根据《苏州市高新技术企业培育实施细则》（苏科规〔2019〕5号）的规定，对在培育期内通过高新技术企业认定的入库企业给予一次性最高20万元的奖补。同一企业入库奖补和认定奖补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合计不超过30万元。</w:t>
      </w:r>
    </w:p>
    <w:p>
      <w:pPr>
        <w:pStyle w:val="7"/>
        <w:adjustRightInd w:val="0"/>
        <w:spacing w:line="600" w:lineRule="atLeast"/>
        <w:ind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三、工作要求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本次高新技术企业培育企业认定高企奖补无需企业申报。各市、区科技局在3月20日前报送2020年度通过高新技术企业认定的入库（市库）企业，并同时报送申请取消培育资格企业名单、2018年度入库（市库）至今尚未通过高新技术企业认定的企业名单和发生重大变化（如分立、合并、重组以及经营业务发生变化等）后不符合入库（市库）条件的企业名单，盖公章后报送市科技局高新处。</w:t>
      </w:r>
    </w:p>
    <w:p>
      <w:pPr>
        <w:pStyle w:val="7"/>
        <w:adjustRightInd w:val="0"/>
        <w:spacing w:line="600" w:lineRule="atLeast"/>
        <w:ind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四、联系方式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业务咨询：市科技局高新处  韩文佳  65227947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材料受理：市科技服务中心科技评估科  顾卓  65731490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jc w:val="right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苏州市科学技术局</w:t>
      </w:r>
    </w:p>
    <w:p>
      <w:pPr>
        <w:adjustRightInd w:val="0"/>
        <w:snapToGrid w:val="0"/>
        <w:spacing w:line="600" w:lineRule="atLeast"/>
        <w:ind w:firstLine="640" w:firstLineChars="200"/>
        <w:jc w:val="right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2021年3月17日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5C26"/>
    <w:rsid w:val="5D4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uiPriority w:val="0"/>
    <w:rPr>
      <w:rFonts w:cs="Times New Roman"/>
    </w:rPr>
  </w:style>
  <w:style w:type="paragraph" w:customStyle="1" w:styleId="7">
    <w:name w:val="a正文"/>
    <w:basedOn w:val="1"/>
    <w:qFormat/>
    <w:uiPriority w:val="0"/>
    <w:pPr>
      <w:snapToGrid w:val="0"/>
      <w:spacing w:line="520" w:lineRule="exact"/>
      <w:ind w:firstLine="640"/>
    </w:pPr>
    <w:rPr>
      <w:rFonts w:ascii="仿宋_GB2312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2021-03-17T04:47:00Z</dcterms:created>
  <dc:creator>松鼠喵huan</dc:creator>
  <cp:lastModifiedBy>松鼠喵huan</cp:lastModifiedBy>
  <dcterms:modified xsi:type="dcterms:W3CDTF">2021-03-17T04:47:15Z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